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6D0BE"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77E2F54B"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58E92A37"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04057672"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609DAD8F"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1C181EFE"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6469BA28"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47178019" w14:textId="77777777" w:rsidR="00E63DAC" w:rsidRPr="005D14D6" w:rsidRDefault="00E63DAC" w:rsidP="00E63DAC">
      <w:pPr>
        <w:pStyle w:val="Footer"/>
        <w:rPr>
          <w:rFonts w:ascii="Times New Roman" w:hAnsi="Times New Roman" w:cs="Times New Roman"/>
          <w:b/>
          <w:color w:val="FFC000" w:themeColor="accent4"/>
          <w:sz w:val="24"/>
          <w:szCs w:val="24"/>
          <w:lang w:val="it-IT"/>
        </w:rPr>
      </w:pPr>
      <w:r w:rsidRPr="005D14D6">
        <w:rPr>
          <w:rFonts w:ascii="Times New Roman" w:hAnsi="Times New Roman" w:cs="Times New Roman"/>
          <w:b/>
          <w:noProof/>
          <w:color w:val="FF0000"/>
          <w:sz w:val="24"/>
          <w:szCs w:val="24"/>
        </w:rPr>
        <w:drawing>
          <wp:anchor distT="0" distB="0" distL="114300" distR="114300" simplePos="0" relativeHeight="251666432" behindDoc="0" locked="0" layoutInCell="1" allowOverlap="1" wp14:anchorId="73EC1476" wp14:editId="42D9ED26">
            <wp:simplePos x="0" y="0"/>
            <wp:positionH relativeFrom="margin">
              <wp:posOffset>2878372</wp:posOffset>
            </wp:positionH>
            <wp:positionV relativeFrom="paragraph">
              <wp:posOffset>31501</wp:posOffset>
            </wp:positionV>
            <wp:extent cx="504000" cy="666000"/>
            <wp:effectExtent l="0" t="0" r="0" b="1270"/>
            <wp:wrapSquare wrapText="bothSides"/>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30364_html_51682b0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04000" cy="666000"/>
                    </a:xfrm>
                    <a:prstGeom prst="rect">
                      <a:avLst/>
                    </a:prstGeom>
                  </pic:spPr>
                </pic:pic>
              </a:graphicData>
            </a:graphic>
          </wp:anchor>
        </w:drawing>
      </w:r>
    </w:p>
    <w:p w14:paraId="6B9A2AAD" w14:textId="77777777" w:rsidR="00E63DAC" w:rsidRPr="005D14D6" w:rsidRDefault="00E63DAC" w:rsidP="00E63DAC">
      <w:pPr>
        <w:pStyle w:val="Footer"/>
        <w:rPr>
          <w:rFonts w:ascii="Times New Roman" w:hAnsi="Times New Roman" w:cs="Times New Roman"/>
          <w:b/>
          <w:color w:val="FFC000" w:themeColor="accent4"/>
          <w:sz w:val="24"/>
          <w:szCs w:val="24"/>
          <w:lang w:val="it-IT"/>
        </w:rPr>
      </w:pPr>
    </w:p>
    <w:p w14:paraId="146428C2" w14:textId="77777777" w:rsidR="00E63DAC" w:rsidRPr="005D14D6" w:rsidRDefault="00E63DAC" w:rsidP="00E63DAC">
      <w:pPr>
        <w:spacing w:after="200" w:line="276" w:lineRule="auto"/>
        <w:ind w:left="1440"/>
        <w:rPr>
          <w:rFonts w:ascii="Times New Roman" w:hAnsi="Times New Roman" w:cs="Times New Roman"/>
          <w:b/>
          <w:color w:val="FFC000" w:themeColor="accent4"/>
          <w:sz w:val="24"/>
          <w:szCs w:val="24"/>
          <w:lang w:val="it-IT"/>
        </w:rPr>
      </w:pPr>
      <w:r w:rsidRPr="005D14D6">
        <w:rPr>
          <w:rFonts w:ascii="Times New Roman" w:hAnsi="Times New Roman" w:cs="Times New Roman"/>
          <w:b/>
          <w:noProof/>
          <w:color w:val="FFC000" w:themeColor="accent4"/>
          <w:sz w:val="24"/>
          <w:szCs w:val="24"/>
        </w:rPr>
        <mc:AlternateContent>
          <mc:Choice Requires="wps">
            <w:drawing>
              <wp:anchor distT="0" distB="0" distL="114300" distR="114300" simplePos="0" relativeHeight="251665408" behindDoc="0" locked="0" layoutInCell="1" allowOverlap="1" wp14:anchorId="3D6BB56E" wp14:editId="681C02A4">
                <wp:simplePos x="0" y="0"/>
                <wp:positionH relativeFrom="margin">
                  <wp:align>right</wp:align>
                </wp:positionH>
                <wp:positionV relativeFrom="paragraph">
                  <wp:posOffset>21450</wp:posOffset>
                </wp:positionV>
                <wp:extent cx="2504661" cy="0"/>
                <wp:effectExtent l="0" t="0" r="29210" b="19050"/>
                <wp:wrapNone/>
                <wp:docPr id="20" name="Straight Connector 20"/>
                <wp:cNvGraphicFramePr/>
                <a:graphic xmlns:a="http://schemas.openxmlformats.org/drawingml/2006/main">
                  <a:graphicData uri="http://schemas.microsoft.com/office/word/2010/wordprocessingShape">
                    <wps:wsp>
                      <wps:cNvCnPr/>
                      <wps:spPr>
                        <a:xfrm>
                          <a:off x="0" y="0"/>
                          <a:ext cx="2504661" cy="0"/>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180BBD" id="Straight Connector 20"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pt,1.7pt" to="343.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" strokecolor="windowText" strokeweight=".9pt">
                <v:stroke joinstyle="miter"/>
                <w10:wrap anchorx="margin"/>
              </v:line>
            </w:pict>
          </mc:Fallback>
        </mc:AlternateContent>
      </w:r>
      <w:r w:rsidRPr="005D14D6">
        <w:rPr>
          <w:rFonts w:ascii="Times New Roman" w:hAnsi="Times New Roman" w:cs="Times New Roman"/>
          <w:b/>
          <w:noProof/>
          <w:color w:val="FFC000" w:themeColor="accent4"/>
          <w:sz w:val="24"/>
          <w:szCs w:val="24"/>
        </w:rPr>
        <mc:AlternateContent>
          <mc:Choice Requires="wps">
            <w:drawing>
              <wp:anchor distT="0" distB="0" distL="114300" distR="114300" simplePos="0" relativeHeight="251664384" behindDoc="0" locked="0" layoutInCell="1" allowOverlap="1" wp14:anchorId="159E4AF0" wp14:editId="74AD883D">
                <wp:simplePos x="0" y="0"/>
                <wp:positionH relativeFrom="margin">
                  <wp:posOffset>273133</wp:posOffset>
                </wp:positionH>
                <wp:positionV relativeFrom="paragraph">
                  <wp:posOffset>20815</wp:posOffset>
                </wp:positionV>
                <wp:extent cx="2512060" cy="331"/>
                <wp:effectExtent l="0" t="0" r="21590" b="19050"/>
                <wp:wrapNone/>
                <wp:docPr id="21" name="Straight Connector 21"/>
                <wp:cNvGraphicFramePr/>
                <a:graphic xmlns:a="http://schemas.openxmlformats.org/drawingml/2006/main">
                  <a:graphicData uri="http://schemas.microsoft.com/office/word/2010/wordprocessingShape">
                    <wps:wsp>
                      <wps:cNvCnPr/>
                      <wps:spPr>
                        <a:xfrm>
                          <a:off x="0" y="0"/>
                          <a:ext cx="2512060" cy="331"/>
                        </a:xfrm>
                        <a:prstGeom prst="line">
                          <a:avLst/>
                        </a:prstGeom>
                        <a:noFill/>
                        <a:ln w="1143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E9410"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pt,1.65pt" to="21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" strokecolor="windowText" strokeweight=".9pt">
                <v:stroke joinstyle="miter"/>
                <w10:wrap anchorx="margin"/>
              </v:line>
            </w:pict>
          </mc:Fallback>
        </mc:AlternateContent>
      </w:r>
    </w:p>
    <w:p w14:paraId="617C6255" w14:textId="77777777" w:rsidR="00E63DAC" w:rsidRPr="005D14D6" w:rsidRDefault="00E63DAC" w:rsidP="00E63DAC">
      <w:pPr>
        <w:spacing w:after="200" w:line="276" w:lineRule="auto"/>
        <w:ind w:left="1440"/>
        <w:rPr>
          <w:rFonts w:ascii="Times New Roman" w:hAnsi="Times New Roman" w:cs="Times New Roman"/>
          <w:b/>
          <w:color w:val="FFC000" w:themeColor="accent4"/>
          <w:sz w:val="24"/>
          <w:szCs w:val="24"/>
          <w:lang w:val="it-IT"/>
        </w:rPr>
      </w:pPr>
    </w:p>
    <w:p w14:paraId="7BD53822" w14:textId="77777777" w:rsidR="00E63DAC" w:rsidRPr="005D14D6" w:rsidRDefault="00E63DAC" w:rsidP="00E63DAC">
      <w:pPr>
        <w:pStyle w:val="NoSpacing"/>
        <w:spacing w:line="276" w:lineRule="auto"/>
        <w:ind w:left="2880"/>
        <w:rPr>
          <w:rFonts w:ascii="Times New Roman" w:hAnsi="Times New Roman" w:cs="Times New Roman"/>
          <w:b/>
          <w:color w:val="000000" w:themeColor="text1"/>
          <w:sz w:val="24"/>
          <w:szCs w:val="24"/>
          <w:lang w:val="it-IT"/>
        </w:rPr>
      </w:pPr>
      <w:r w:rsidRPr="005D14D6">
        <w:rPr>
          <w:rFonts w:ascii="Times New Roman" w:hAnsi="Times New Roman" w:cs="Times New Roman"/>
          <w:b/>
          <w:color w:val="000000" w:themeColor="text1"/>
          <w:sz w:val="24"/>
          <w:szCs w:val="24"/>
          <w:lang w:val="it-IT"/>
        </w:rPr>
        <w:t>REPUBLIKA E SHQIPËRISË</w:t>
      </w:r>
    </w:p>
    <w:p w14:paraId="3DD767B6" w14:textId="77777777" w:rsidR="00E63DAC" w:rsidRPr="005D14D6" w:rsidRDefault="00E63DAC" w:rsidP="00E63DAC">
      <w:pPr>
        <w:pStyle w:val="NoSpacing"/>
        <w:spacing w:line="276" w:lineRule="auto"/>
        <w:jc w:val="center"/>
        <w:rPr>
          <w:rFonts w:ascii="Times New Roman" w:hAnsi="Times New Roman" w:cs="Times New Roman"/>
          <w:b/>
          <w:color w:val="000000" w:themeColor="text1"/>
          <w:sz w:val="24"/>
          <w:szCs w:val="24"/>
          <w:lang w:val="it-IT"/>
        </w:rPr>
      </w:pPr>
      <w:r w:rsidRPr="005D14D6">
        <w:rPr>
          <w:rFonts w:ascii="Times New Roman" w:hAnsi="Times New Roman" w:cs="Times New Roman"/>
          <w:b/>
          <w:color w:val="000000" w:themeColor="text1"/>
          <w:sz w:val="24"/>
          <w:szCs w:val="24"/>
          <w:lang w:val="it-IT"/>
        </w:rPr>
        <w:t>BASHKIA SHIJAK</w:t>
      </w:r>
    </w:p>
    <w:p w14:paraId="0BB29899" w14:textId="77777777" w:rsidR="00E63DAC" w:rsidRPr="005D14D6" w:rsidRDefault="00E63DAC" w:rsidP="00E63DAC">
      <w:pPr>
        <w:spacing w:after="200" w:line="276" w:lineRule="auto"/>
        <w:ind w:left="1440"/>
        <w:rPr>
          <w:rFonts w:ascii="Times New Roman" w:hAnsi="Times New Roman" w:cs="Times New Roman"/>
          <w:b/>
          <w:i/>
          <w:color w:val="000000" w:themeColor="text1"/>
          <w:sz w:val="24"/>
          <w:szCs w:val="24"/>
          <w:lang w:val="it-IT"/>
        </w:rPr>
      </w:pPr>
    </w:p>
    <w:p w14:paraId="5D94D323" w14:textId="77777777" w:rsidR="00E63DAC" w:rsidRPr="005D14D6" w:rsidRDefault="00E63DAC" w:rsidP="00E63DAC">
      <w:pPr>
        <w:jc w:val="center"/>
        <w:rPr>
          <w:rFonts w:ascii="Times New Roman" w:hAnsi="Times New Roman" w:cs="Times New Roman"/>
          <w:b/>
          <w:color w:val="000000" w:themeColor="text1"/>
          <w:sz w:val="24"/>
          <w:szCs w:val="24"/>
          <w:lang w:val="it-IT"/>
        </w:rPr>
      </w:pPr>
    </w:p>
    <w:p w14:paraId="3174D057" w14:textId="77777777" w:rsidR="00E63DAC" w:rsidRPr="005D14D6" w:rsidRDefault="00E63DAC" w:rsidP="00E63DAC">
      <w:pPr>
        <w:spacing w:line="276" w:lineRule="auto"/>
        <w:jc w:val="both"/>
        <w:rPr>
          <w:rFonts w:ascii="Times New Roman" w:hAnsi="Times New Roman" w:cs="Times New Roman"/>
          <w:b/>
          <w:color w:val="000000" w:themeColor="text1"/>
          <w:sz w:val="24"/>
          <w:szCs w:val="24"/>
          <w:lang w:val="it-IT"/>
        </w:rPr>
      </w:pPr>
      <w:r w:rsidRPr="005D14D6">
        <w:rPr>
          <w:rFonts w:ascii="Times New Roman" w:hAnsi="Times New Roman" w:cs="Times New Roman"/>
          <w:b/>
          <w:color w:val="000000" w:themeColor="text1"/>
          <w:sz w:val="24"/>
          <w:szCs w:val="24"/>
          <w:lang w:val="it-IT"/>
        </w:rPr>
        <w:t>Nr._______Prot.</w:t>
      </w:r>
      <w:r w:rsidRPr="005D14D6">
        <w:rPr>
          <w:rFonts w:ascii="Times New Roman" w:hAnsi="Times New Roman" w:cs="Times New Roman"/>
          <w:b/>
          <w:color w:val="000000" w:themeColor="text1"/>
          <w:sz w:val="24"/>
          <w:szCs w:val="24"/>
          <w:lang w:val="it-IT"/>
        </w:rPr>
        <w:tab/>
        <w:t xml:space="preserve">                                                                  Shijak, më ____.____.2022    </w:t>
      </w:r>
    </w:p>
    <w:p w14:paraId="69695F49"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0A7970E1" w14:textId="77777777" w:rsidR="00E63DAC" w:rsidRPr="005D14D6" w:rsidRDefault="00E63DAC" w:rsidP="00E63DAC">
      <w:pPr>
        <w:pStyle w:val="Footer"/>
        <w:rPr>
          <w:rFonts w:ascii="Times New Roman" w:hAnsi="Times New Roman" w:cs="Times New Roman"/>
          <w:b/>
          <w:color w:val="000000" w:themeColor="text1"/>
          <w:sz w:val="24"/>
          <w:szCs w:val="24"/>
          <w:lang w:val="it-IT"/>
        </w:rPr>
      </w:pPr>
    </w:p>
    <w:p w14:paraId="6FEC16CA" w14:textId="77777777" w:rsidR="00E63DAC" w:rsidRPr="005D14D6" w:rsidRDefault="00E63DAC" w:rsidP="00E63DAC">
      <w:pPr>
        <w:pStyle w:val="Footer"/>
        <w:jc w:val="center"/>
        <w:rPr>
          <w:rFonts w:ascii="Times New Roman" w:hAnsi="Times New Roman" w:cs="Times New Roman"/>
          <w:b/>
          <w:color w:val="000000" w:themeColor="text1"/>
          <w:sz w:val="24"/>
          <w:szCs w:val="24"/>
          <w:lang w:val="it-IT"/>
        </w:rPr>
      </w:pPr>
      <w:r w:rsidRPr="005D14D6">
        <w:rPr>
          <w:rFonts w:ascii="Times New Roman" w:hAnsi="Times New Roman" w:cs="Times New Roman"/>
          <w:b/>
          <w:color w:val="000000" w:themeColor="text1"/>
          <w:sz w:val="24"/>
          <w:szCs w:val="24"/>
          <w:lang w:val="it-IT"/>
        </w:rPr>
        <w:t>RELACION</w:t>
      </w:r>
    </w:p>
    <w:p w14:paraId="4F334648" w14:textId="77777777" w:rsidR="00E63DAC" w:rsidRPr="005D14D6" w:rsidRDefault="00E63DAC" w:rsidP="00E63DAC">
      <w:pPr>
        <w:pStyle w:val="Footer"/>
        <w:jc w:val="center"/>
        <w:rPr>
          <w:rFonts w:ascii="Times New Roman" w:hAnsi="Times New Roman" w:cs="Times New Roman"/>
          <w:b/>
          <w:color w:val="000000" w:themeColor="text1"/>
          <w:sz w:val="24"/>
          <w:szCs w:val="24"/>
          <w:lang w:val="it-IT"/>
        </w:rPr>
      </w:pPr>
    </w:p>
    <w:p w14:paraId="7D1C1E94" w14:textId="77777777" w:rsidR="00E63DAC" w:rsidRPr="005D14D6" w:rsidRDefault="00E63DAC" w:rsidP="00E63DAC">
      <w:pPr>
        <w:pStyle w:val="Footer"/>
        <w:jc w:val="center"/>
        <w:rPr>
          <w:rFonts w:ascii="Times New Roman" w:hAnsi="Times New Roman" w:cs="Times New Roman"/>
          <w:b/>
          <w:color w:val="000000" w:themeColor="text1"/>
          <w:sz w:val="24"/>
          <w:szCs w:val="24"/>
          <w:lang w:val="it-IT"/>
        </w:rPr>
      </w:pPr>
    </w:p>
    <w:p w14:paraId="3ACE1F95" w14:textId="77777777" w:rsidR="005D14D6" w:rsidRPr="005D14D6" w:rsidRDefault="00E63DAC" w:rsidP="00E63DAC">
      <w:pPr>
        <w:shd w:val="clear" w:color="auto" w:fill="FFFFFF"/>
        <w:spacing w:after="100" w:afterAutospacing="1" w:line="300" w:lineRule="atLeast"/>
        <w:jc w:val="both"/>
        <w:rPr>
          <w:rFonts w:ascii="Times New Roman" w:eastAsia="Times New Roman" w:hAnsi="Times New Roman" w:cs="Times New Roman"/>
          <w:color w:val="000000" w:themeColor="text1"/>
          <w:sz w:val="24"/>
          <w:szCs w:val="24"/>
          <w:lang w:val="it-IT"/>
        </w:rPr>
      </w:pPr>
      <w:r w:rsidRPr="005D14D6">
        <w:rPr>
          <w:rFonts w:ascii="Times New Roman" w:eastAsia="Times New Roman" w:hAnsi="Times New Roman" w:cs="Times New Roman"/>
          <w:color w:val="000000" w:themeColor="text1"/>
          <w:sz w:val="24"/>
          <w:szCs w:val="24"/>
          <w:lang w:val="it-IT"/>
        </w:rPr>
        <w:t>Bashkia e Shijakut, bazuar në parashikimet e ligjit nr. 139/2015 “Për vetëqeverisjen vendore”, nenit 9, pika 1.2, ushtron të drejtën e pronësisë, duke ushtruar të drejtën për të gëzuar dhe disponuar lirisht sendet në pronësi të saj, brenda kufijve të caktuara nga ligji.</w:t>
      </w:r>
      <w:r w:rsidR="005D14D6" w:rsidRPr="005D14D6">
        <w:rPr>
          <w:rFonts w:ascii="Times New Roman" w:eastAsia="Times New Roman" w:hAnsi="Times New Roman" w:cs="Times New Roman"/>
          <w:color w:val="000000" w:themeColor="text1"/>
          <w:sz w:val="24"/>
          <w:szCs w:val="24"/>
          <w:lang w:val="it-IT"/>
        </w:rPr>
        <w:t xml:space="preserve"> Si person juridik gëzojmë dhe ushtrojmë të gjitha të drejtat e përcaktuara në Kodin Civil të Republikës së Shqipërisë dhe në legjislacionin në fuqi. </w:t>
      </w:r>
    </w:p>
    <w:p w14:paraId="109E6EE0" w14:textId="77777777" w:rsidR="00E63DAC" w:rsidRPr="005D14D6" w:rsidRDefault="00E63DAC" w:rsidP="00E63DAC">
      <w:pPr>
        <w:shd w:val="clear" w:color="auto" w:fill="FFFFFF"/>
        <w:spacing w:after="100" w:afterAutospacing="1" w:line="300" w:lineRule="atLeast"/>
        <w:jc w:val="both"/>
        <w:rPr>
          <w:rFonts w:ascii="Times New Roman" w:eastAsia="Calibri" w:hAnsi="Times New Roman" w:cs="Times New Roman"/>
          <w:color w:val="000000" w:themeColor="text1"/>
          <w:sz w:val="24"/>
          <w:szCs w:val="24"/>
          <w:lang w:val="it-IT"/>
        </w:rPr>
      </w:pPr>
      <w:r w:rsidRPr="005D14D6">
        <w:rPr>
          <w:rFonts w:ascii="Times New Roman" w:eastAsia="Times New Roman" w:hAnsi="Times New Roman" w:cs="Times New Roman"/>
          <w:color w:val="000000" w:themeColor="text1"/>
          <w:sz w:val="24"/>
          <w:szCs w:val="24"/>
          <w:lang w:val="it-IT"/>
        </w:rPr>
        <w:t>Relatimi I ketij proje</w:t>
      </w:r>
      <w:r w:rsidR="005D14D6" w:rsidRPr="005D14D6">
        <w:rPr>
          <w:rFonts w:ascii="Times New Roman" w:eastAsia="Times New Roman" w:hAnsi="Times New Roman" w:cs="Times New Roman"/>
          <w:color w:val="000000" w:themeColor="text1"/>
          <w:sz w:val="24"/>
          <w:szCs w:val="24"/>
          <w:lang w:val="it-IT"/>
        </w:rPr>
        <w:t>k</w:t>
      </w:r>
      <w:r w:rsidRPr="005D14D6">
        <w:rPr>
          <w:rFonts w:ascii="Times New Roman" w:eastAsia="Times New Roman" w:hAnsi="Times New Roman" w:cs="Times New Roman"/>
          <w:color w:val="000000" w:themeColor="text1"/>
          <w:sz w:val="24"/>
          <w:szCs w:val="24"/>
          <w:lang w:val="it-IT"/>
        </w:rPr>
        <w:t>t- vendimi “</w:t>
      </w:r>
      <w:r w:rsidRPr="005D14D6">
        <w:rPr>
          <w:rFonts w:ascii="Times New Roman" w:eastAsia="Calibri" w:hAnsi="Times New Roman" w:cs="Times New Roman"/>
          <w:color w:val="000000" w:themeColor="text1"/>
          <w:sz w:val="24"/>
          <w:szCs w:val="24"/>
          <w:lang w:val="it-IT"/>
        </w:rPr>
        <w:t>Për miratimin e tjetersimit e  këmbim</w:t>
      </w:r>
      <w:r w:rsidR="005D14D6" w:rsidRPr="005D14D6">
        <w:rPr>
          <w:rFonts w:ascii="Times New Roman" w:eastAsia="Calibri" w:hAnsi="Times New Roman" w:cs="Times New Roman"/>
          <w:color w:val="000000" w:themeColor="text1"/>
          <w:sz w:val="24"/>
          <w:szCs w:val="24"/>
          <w:lang w:val="it-IT"/>
        </w:rPr>
        <w:t>in</w:t>
      </w:r>
      <w:r w:rsidRPr="005D14D6">
        <w:rPr>
          <w:rFonts w:ascii="Times New Roman" w:eastAsia="Calibri" w:hAnsi="Times New Roman" w:cs="Times New Roman"/>
          <w:color w:val="000000" w:themeColor="text1"/>
          <w:sz w:val="24"/>
          <w:szCs w:val="24"/>
          <w:lang w:val="it-IT"/>
        </w:rPr>
        <w:t xml:space="preserve">  </w:t>
      </w:r>
      <w:r w:rsidR="005D14D6" w:rsidRPr="005D14D6">
        <w:rPr>
          <w:rFonts w:ascii="Times New Roman" w:eastAsia="Calibri" w:hAnsi="Times New Roman" w:cs="Times New Roman"/>
          <w:color w:val="000000" w:themeColor="text1"/>
          <w:sz w:val="24"/>
          <w:szCs w:val="24"/>
          <w:lang w:val="it-IT"/>
        </w:rPr>
        <w:t>e</w:t>
      </w:r>
      <w:r w:rsidRPr="005D14D6">
        <w:rPr>
          <w:rFonts w:ascii="Times New Roman" w:eastAsia="Calibri" w:hAnsi="Times New Roman" w:cs="Times New Roman"/>
          <w:color w:val="000000" w:themeColor="text1"/>
          <w:sz w:val="24"/>
          <w:szCs w:val="24"/>
          <w:lang w:val="it-IT"/>
        </w:rPr>
        <w:t xml:space="preserve"> pronës  </w:t>
      </w:r>
      <w:r w:rsidR="005D14D6" w:rsidRPr="005D14D6">
        <w:rPr>
          <w:rFonts w:ascii="Times New Roman" w:eastAsia="Calibri" w:hAnsi="Times New Roman" w:cs="Times New Roman"/>
          <w:color w:val="000000" w:themeColor="text1"/>
          <w:sz w:val="24"/>
          <w:szCs w:val="24"/>
          <w:lang w:val="it-IT"/>
        </w:rPr>
        <w:t>ish P</w:t>
      </w:r>
      <w:r w:rsidRPr="005D14D6">
        <w:rPr>
          <w:rFonts w:ascii="Times New Roman" w:eastAsia="Calibri" w:hAnsi="Times New Roman" w:cs="Times New Roman"/>
          <w:color w:val="000000" w:themeColor="text1"/>
          <w:sz w:val="24"/>
          <w:szCs w:val="24"/>
          <w:lang w:val="it-IT"/>
        </w:rPr>
        <w:t xml:space="preserve">allat </w:t>
      </w:r>
      <w:r w:rsidR="005D14D6" w:rsidRPr="005D14D6">
        <w:rPr>
          <w:rFonts w:ascii="Times New Roman" w:eastAsia="Calibri" w:hAnsi="Times New Roman" w:cs="Times New Roman"/>
          <w:color w:val="000000" w:themeColor="text1"/>
          <w:sz w:val="24"/>
          <w:szCs w:val="24"/>
          <w:lang w:val="it-IT"/>
        </w:rPr>
        <w:t>K</w:t>
      </w:r>
      <w:r w:rsidRPr="005D14D6">
        <w:rPr>
          <w:rFonts w:ascii="Times New Roman" w:eastAsia="Calibri" w:hAnsi="Times New Roman" w:cs="Times New Roman"/>
          <w:color w:val="000000" w:themeColor="text1"/>
          <w:sz w:val="24"/>
          <w:szCs w:val="24"/>
          <w:lang w:val="it-IT"/>
        </w:rPr>
        <w:t xml:space="preserve">ulture ,dalë jashtë funksionit nga tërmeti i 26- nëntorit 2019 ,pronë e  përfituar me VKM Nr. 839 datë 22.07.2009 “Për miratimin e listës përfundimtare të pronave të paluajtëshme publike shtetërore që transferohen në pronësi të bashkisë shijak </w:t>
      </w:r>
      <w:r w:rsidRPr="005D14D6">
        <w:rPr>
          <w:rFonts w:ascii="Times New Roman" w:eastAsia="Calibri" w:hAnsi="Times New Roman" w:cs="Times New Roman"/>
          <w:i/>
          <w:color w:val="000000" w:themeColor="text1"/>
          <w:sz w:val="24"/>
          <w:szCs w:val="24"/>
          <w:u w:val="single"/>
          <w:lang w:val="it-IT"/>
        </w:rPr>
        <w:t>me</w:t>
      </w:r>
      <w:r w:rsidRPr="005D14D6">
        <w:rPr>
          <w:rFonts w:ascii="Times New Roman" w:eastAsia="Calibri" w:hAnsi="Times New Roman" w:cs="Times New Roman"/>
          <w:color w:val="000000" w:themeColor="text1"/>
          <w:sz w:val="24"/>
          <w:szCs w:val="24"/>
          <w:lang w:val="it-IT"/>
        </w:rPr>
        <w:t xml:space="preserve"> pronën  Nr 15/14 zk 3369 në pronësi të Komitieti  Mysliman të Shqipërisë (ish pronare dhe fqinje me kete prone”).rrjedh nga.</w:t>
      </w:r>
    </w:p>
    <w:p w14:paraId="29102F63" w14:textId="77777777"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t xml:space="preserve">1. Situata e krijuar nga tërmeti i 26 nëntorit ,në bashkinë Shijak  ka sjellë pasoja dhe në objektet kulturore arsimore të qytetit , nga verifikimi i kryer nga Insituti i ndërtimin objekti </w:t>
      </w:r>
      <w:r w:rsidR="005D14D6" w:rsidRPr="005D14D6">
        <w:rPr>
          <w:rFonts w:ascii="Times New Roman" w:eastAsia="Calibri" w:hAnsi="Times New Roman" w:cs="Times New Roman"/>
          <w:color w:val="000000" w:themeColor="text1"/>
          <w:sz w:val="24"/>
          <w:szCs w:val="24"/>
          <w:lang w:val="it-IT"/>
        </w:rPr>
        <w:t xml:space="preserve"> P</w:t>
      </w:r>
      <w:r w:rsidRPr="005D14D6">
        <w:rPr>
          <w:rFonts w:ascii="Times New Roman" w:eastAsia="Calibri" w:hAnsi="Times New Roman" w:cs="Times New Roman"/>
          <w:color w:val="000000" w:themeColor="text1"/>
          <w:sz w:val="24"/>
          <w:szCs w:val="24"/>
          <w:lang w:val="it-IT"/>
        </w:rPr>
        <w:t xml:space="preserve">allat </w:t>
      </w:r>
      <w:r w:rsidR="005D14D6" w:rsidRPr="005D14D6">
        <w:rPr>
          <w:rFonts w:ascii="Times New Roman" w:eastAsia="Calibri" w:hAnsi="Times New Roman" w:cs="Times New Roman"/>
          <w:color w:val="000000" w:themeColor="text1"/>
          <w:sz w:val="24"/>
          <w:szCs w:val="24"/>
          <w:lang w:val="it-IT"/>
        </w:rPr>
        <w:t>K</w:t>
      </w:r>
      <w:r w:rsidRPr="005D14D6">
        <w:rPr>
          <w:rFonts w:ascii="Times New Roman" w:eastAsia="Calibri" w:hAnsi="Times New Roman" w:cs="Times New Roman"/>
          <w:color w:val="000000" w:themeColor="text1"/>
          <w:sz w:val="24"/>
          <w:szCs w:val="24"/>
          <w:lang w:val="it-IT"/>
        </w:rPr>
        <w:t>ultur</w:t>
      </w:r>
      <w:r w:rsidR="005D14D6" w:rsidRPr="005D14D6">
        <w:rPr>
          <w:rFonts w:ascii="Times New Roman" w:eastAsia="Calibri" w:hAnsi="Times New Roman" w:cs="Times New Roman"/>
          <w:color w:val="000000" w:themeColor="text1"/>
          <w:sz w:val="24"/>
          <w:szCs w:val="24"/>
          <w:lang w:val="it-IT"/>
        </w:rPr>
        <w:t>e</w:t>
      </w:r>
      <w:r w:rsidRPr="005D14D6">
        <w:rPr>
          <w:rFonts w:ascii="Times New Roman" w:eastAsia="Calibri" w:hAnsi="Times New Roman" w:cs="Times New Roman"/>
          <w:color w:val="000000" w:themeColor="text1"/>
          <w:sz w:val="24"/>
          <w:szCs w:val="24"/>
          <w:lang w:val="it-IT"/>
        </w:rPr>
        <w:t xml:space="preserve"> është kthyer tërësish jashtë funksionit  duke u konsideruar  me një dëmtim DS4  për shembje miratuar kjo me VKB Nr. 50 datë 08.06.2020 “Për miratimin e Akt- ekpertizave të thelluara”. Pika 2.e vendimit.  </w:t>
      </w:r>
    </w:p>
    <w:p w14:paraId="6CF6C2A7" w14:textId="77777777"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lastRenderedPageBreak/>
        <w:t>Projekti i ri i pallatit të kulturës financuar nga qeveria shqiptare,  nuk përshtatet me sipërfaqen e vjetër dhe teknikisht  është e pamundur që të rindërtohet në të njëjtin vend.</w:t>
      </w:r>
    </w:p>
    <w:p w14:paraId="51966AC4" w14:textId="77777777"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t xml:space="preserve">Me vendimin e keshillit bashkiak </w:t>
      </w:r>
      <w:r w:rsidR="005D14D6" w:rsidRPr="005D14D6">
        <w:rPr>
          <w:rFonts w:ascii="Times New Roman" w:eastAsia="Calibri" w:hAnsi="Times New Roman" w:cs="Times New Roman"/>
          <w:color w:val="000000" w:themeColor="text1"/>
          <w:sz w:val="24"/>
          <w:szCs w:val="24"/>
          <w:lang w:val="it-IT"/>
        </w:rPr>
        <w:t>S</w:t>
      </w:r>
      <w:r w:rsidRPr="005D14D6">
        <w:rPr>
          <w:rFonts w:ascii="Times New Roman" w:eastAsia="Calibri" w:hAnsi="Times New Roman" w:cs="Times New Roman"/>
          <w:color w:val="000000" w:themeColor="text1"/>
          <w:sz w:val="24"/>
          <w:szCs w:val="24"/>
          <w:lang w:val="it-IT"/>
        </w:rPr>
        <w:t>hijak  Nr. 14 datë 01.03.2021 është miratuar plani i detyruar vendor për objektin “Pallati i ri i kulturës”  në lagjen Popullore ,duke përcaktuar dhe vendodhjen e re te  objektit “Pallat Kulture”</w:t>
      </w:r>
    </w:p>
    <w:p w14:paraId="128AC2D6" w14:textId="77777777"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t xml:space="preserve">Vendimi </w:t>
      </w:r>
      <w:r w:rsidR="005D14D6" w:rsidRPr="005D14D6">
        <w:rPr>
          <w:rFonts w:ascii="Times New Roman" w:eastAsia="Calibri" w:hAnsi="Times New Roman" w:cs="Times New Roman"/>
          <w:color w:val="000000" w:themeColor="text1"/>
          <w:sz w:val="24"/>
          <w:szCs w:val="24"/>
          <w:lang w:val="it-IT"/>
        </w:rPr>
        <w:t>N</w:t>
      </w:r>
      <w:r w:rsidRPr="005D14D6">
        <w:rPr>
          <w:rFonts w:ascii="Times New Roman" w:eastAsia="Calibri" w:hAnsi="Times New Roman" w:cs="Times New Roman"/>
          <w:color w:val="000000" w:themeColor="text1"/>
          <w:sz w:val="24"/>
          <w:szCs w:val="24"/>
          <w:lang w:val="it-IT"/>
        </w:rPr>
        <w:t xml:space="preserve">r 14 datë 01.03.2021 është miratuar  me VKM Nr.320 datë 18.05.2022 “Për një ndryshim në vendimin Nr.45 datë 22.01.2022 “Për shpalljen e zones  së re  për zhvillim në Njësinë Administrative Shijak” </w:t>
      </w:r>
    </w:p>
    <w:p w14:paraId="70615937" w14:textId="77777777"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t>Me shkresën Nr.8387/2 datë 19.05.2021  është miratuar fondi i ndërtimit të pallatit të kulturës në zbatim të VKM Nr. 279 datë 12.05.2021.në këto kushte :</w:t>
      </w:r>
    </w:p>
    <w:p w14:paraId="61A88C23" w14:textId="64D73222" w:rsidR="00E63DAC" w:rsidRPr="005D14D6" w:rsidRDefault="00E63DAC" w:rsidP="00E63DAC">
      <w:pPr>
        <w:spacing w:after="200" w:line="276" w:lineRule="auto"/>
        <w:jc w:val="both"/>
        <w:rPr>
          <w:rFonts w:ascii="Times New Roman" w:eastAsia="Calibri" w:hAnsi="Times New Roman" w:cs="Times New Roman"/>
          <w:color w:val="000000" w:themeColor="text1"/>
          <w:sz w:val="24"/>
          <w:szCs w:val="24"/>
          <w:lang w:val="it-IT"/>
        </w:rPr>
      </w:pPr>
      <w:r w:rsidRPr="005D14D6">
        <w:rPr>
          <w:rFonts w:ascii="Times New Roman" w:eastAsia="Calibri" w:hAnsi="Times New Roman" w:cs="Times New Roman"/>
          <w:color w:val="000000" w:themeColor="text1"/>
          <w:sz w:val="24"/>
          <w:szCs w:val="24"/>
          <w:lang w:val="it-IT"/>
        </w:rPr>
        <w:t>Bazuar</w:t>
      </w:r>
      <w:r w:rsidR="005D14D6" w:rsidRPr="005D14D6">
        <w:rPr>
          <w:rFonts w:ascii="Times New Roman" w:eastAsia="Calibri" w:hAnsi="Times New Roman" w:cs="Times New Roman"/>
          <w:color w:val="000000" w:themeColor="text1"/>
          <w:sz w:val="24"/>
          <w:szCs w:val="24"/>
          <w:lang w:val="it-IT"/>
        </w:rPr>
        <w:t xml:space="preserve"> ne sa me siper</w:t>
      </w:r>
      <w:r w:rsidRPr="005D14D6">
        <w:rPr>
          <w:rFonts w:ascii="Times New Roman" w:eastAsia="Calibri" w:hAnsi="Times New Roman" w:cs="Times New Roman"/>
          <w:color w:val="000000" w:themeColor="text1"/>
          <w:sz w:val="24"/>
          <w:szCs w:val="24"/>
          <w:lang w:val="it-IT"/>
        </w:rPr>
        <w:t xml:space="preserve"> dhe në kërkesën e besimtarëve të qytetit dhe komitetit mysliman për ndërtimin e një xh</w:t>
      </w:r>
      <w:r w:rsidR="00D119D6">
        <w:rPr>
          <w:rFonts w:ascii="Times New Roman" w:eastAsia="Calibri" w:hAnsi="Times New Roman" w:cs="Times New Roman"/>
          <w:color w:val="000000" w:themeColor="text1"/>
          <w:sz w:val="24"/>
          <w:szCs w:val="24"/>
          <w:lang w:val="it-IT"/>
        </w:rPr>
        <w:t>amie te re për qytetin shijak</w:t>
      </w:r>
      <w:r w:rsidRPr="005D14D6">
        <w:rPr>
          <w:rFonts w:ascii="Times New Roman" w:eastAsia="Calibri" w:hAnsi="Times New Roman" w:cs="Times New Roman"/>
          <w:color w:val="000000" w:themeColor="text1"/>
          <w:sz w:val="24"/>
          <w:szCs w:val="24"/>
          <w:lang w:val="it-IT"/>
        </w:rPr>
        <w:t>,</w:t>
      </w:r>
      <w:r w:rsidR="00D119D6">
        <w:rPr>
          <w:rFonts w:ascii="Times New Roman" w:eastAsia="Calibri" w:hAnsi="Times New Roman" w:cs="Times New Roman"/>
          <w:color w:val="000000" w:themeColor="text1"/>
          <w:sz w:val="24"/>
          <w:szCs w:val="24"/>
          <w:lang w:val="it-IT"/>
        </w:rPr>
        <w:t xml:space="preserve"> </w:t>
      </w:r>
      <w:bookmarkStart w:id="0" w:name="_GoBack"/>
      <w:bookmarkEnd w:id="0"/>
      <w:r w:rsidRPr="005D14D6">
        <w:rPr>
          <w:rFonts w:ascii="Times New Roman" w:eastAsia="Calibri" w:hAnsi="Times New Roman" w:cs="Times New Roman"/>
          <w:color w:val="000000" w:themeColor="text1"/>
          <w:sz w:val="24"/>
          <w:szCs w:val="24"/>
          <w:lang w:val="it-IT"/>
        </w:rPr>
        <w:t>me cilesine dhe te ish pronarit te vjeter dhe fqinjit aktual te prones në mbështetje të nenit 8,pika 2 ,neni 9 pika 1 shkronja b nen pika 1.2 shkronja c neni 23 pika 6 neni 54 shkronja e të ligjit  numër 139/2015 “Për vetë Qeverisjen Vendore”I ndryshuar ligjit nr 8743 datë 22.2.2001 “Për pronat e paluajtëshme të shtetit” të ndryshuar me ligjin nr 8744 datë 22.2.2001 “Për transferimin e pronave të paluajtshme publike të shtetit në njësitë e Qeverisjes Vendore” të ndryshuar, VKM Nr. 839 datë 22.07.2009 “Për miratimin e listës përfundimtare të pronave të paluajtëshme publike shtetërore që transferohen në pronësi të bashkisë Shijak, ligjit nr.107/2014 datë 31.07.2014 “Për planifikimin dhe zhvillimin e territorit “I ndryshuar ,</w:t>
      </w:r>
      <w:r w:rsidRPr="005D14D6">
        <w:rPr>
          <w:rFonts w:ascii="Times New Roman" w:hAnsi="Times New Roman" w:cs="Times New Roman"/>
          <w:color w:val="000000" w:themeColor="text1"/>
          <w:sz w:val="24"/>
          <w:szCs w:val="24"/>
          <w:lang w:val="it-IT"/>
        </w:rPr>
        <w:t xml:space="preserve"> Ligjit Nr. 97/2019 “Për miratimin e Aktit Normativ Nr. 9, datë 16.12.2019, të Këshillit të Ministrave, </w:t>
      </w:r>
      <w:r w:rsidRPr="005D14D6">
        <w:rPr>
          <w:rFonts w:ascii="Times New Roman" w:hAnsi="Times New Roman" w:cs="Times New Roman"/>
          <w:i/>
          <w:color w:val="000000" w:themeColor="text1"/>
          <w:sz w:val="24"/>
          <w:szCs w:val="24"/>
          <w:lang w:val="it-IT"/>
        </w:rPr>
        <w:t>“Për përballimin e pasojave të fatkeqësisë natyrore”</w:t>
      </w:r>
      <w:r w:rsidRPr="005D14D6">
        <w:rPr>
          <w:rFonts w:ascii="Times New Roman" w:hAnsi="Times New Roman" w:cs="Times New Roman"/>
          <w:color w:val="000000" w:themeColor="text1"/>
          <w:sz w:val="24"/>
          <w:szCs w:val="24"/>
          <w:lang w:val="it-IT"/>
        </w:rPr>
        <w:t xml:space="preserve">, të Ligjit Nr. 107/2014, datë 31.07.2014 </w:t>
      </w:r>
      <w:r w:rsidRPr="005D14D6">
        <w:rPr>
          <w:rFonts w:ascii="Times New Roman" w:hAnsi="Times New Roman" w:cs="Times New Roman"/>
          <w:i/>
          <w:color w:val="000000" w:themeColor="text1"/>
          <w:sz w:val="24"/>
          <w:szCs w:val="24"/>
          <w:lang w:val="it-IT"/>
        </w:rPr>
        <w:t>“Për Planifikimin  dhe Zhvillimin e Territorit”</w:t>
      </w:r>
      <w:r w:rsidRPr="005D14D6">
        <w:rPr>
          <w:rFonts w:ascii="Times New Roman" w:hAnsi="Times New Roman" w:cs="Times New Roman"/>
          <w:color w:val="000000" w:themeColor="text1"/>
          <w:sz w:val="24"/>
          <w:szCs w:val="24"/>
          <w:lang w:val="it-IT"/>
        </w:rPr>
        <w:t xml:space="preserve">, i ndryshuar, të Vendimit Nr. 887, datë 24.12.2019 të Këshillit të Ministrave </w:t>
      </w:r>
      <w:r w:rsidRPr="005D14D6">
        <w:rPr>
          <w:rFonts w:ascii="Times New Roman" w:hAnsi="Times New Roman" w:cs="Times New Roman"/>
          <w:i/>
          <w:color w:val="000000" w:themeColor="text1"/>
          <w:sz w:val="24"/>
          <w:szCs w:val="24"/>
          <w:lang w:val="it-IT"/>
        </w:rPr>
        <w:t xml:space="preserve">“Për përcaktimin e rregullave dhe procedurës së përshpejtuar për hartimin dhe miratimin e Planit të Detyruar Vendor, si dhe procedurës së miratimit të Lejeve të Zhvillimit/Ndërtimit, në rastet e fatkeqësisë natyrore”, </w:t>
      </w:r>
      <w:r w:rsidRPr="005D14D6">
        <w:rPr>
          <w:rFonts w:ascii="Times New Roman" w:hAnsi="Times New Roman" w:cs="Times New Roman"/>
          <w:color w:val="000000" w:themeColor="text1"/>
          <w:sz w:val="24"/>
          <w:szCs w:val="24"/>
          <w:lang w:val="it-IT"/>
        </w:rPr>
        <w:t xml:space="preserve">të vendimit Nr. 686, datë 22.11.2017 të Këshillit të Ministrave, </w:t>
      </w:r>
      <w:r w:rsidRPr="005D14D6">
        <w:rPr>
          <w:rFonts w:ascii="Times New Roman" w:hAnsi="Times New Roman" w:cs="Times New Roman"/>
          <w:i/>
          <w:color w:val="000000" w:themeColor="text1"/>
          <w:sz w:val="24"/>
          <w:szCs w:val="24"/>
          <w:lang w:val="it-IT"/>
        </w:rPr>
        <w:t xml:space="preserve">“Për miratimin e Rregullores së Planifikimit të Territorit”, </w:t>
      </w:r>
      <w:r w:rsidRPr="005D14D6">
        <w:rPr>
          <w:rFonts w:ascii="Times New Roman" w:hAnsi="Times New Roman" w:cs="Times New Roman"/>
          <w:color w:val="000000" w:themeColor="text1"/>
          <w:sz w:val="24"/>
          <w:szCs w:val="24"/>
          <w:lang w:val="it-IT"/>
        </w:rPr>
        <w:t xml:space="preserve">të ndryshuar, relatojme për tjetërsimin e  këmbimin e pronës ish - </w:t>
      </w:r>
      <w:r w:rsidRPr="005D14D6">
        <w:rPr>
          <w:rFonts w:ascii="Times New Roman" w:eastAsia="Calibri" w:hAnsi="Times New Roman" w:cs="Times New Roman"/>
          <w:color w:val="000000" w:themeColor="text1"/>
          <w:sz w:val="24"/>
          <w:szCs w:val="24"/>
          <w:lang w:val="it-IT"/>
        </w:rPr>
        <w:t xml:space="preserve">pallat kulture dalë jashtë funksionit nga tërmeti i 26- nëntorit 2019 ,pronë e  përfituar me VKM Nr. 839 datë 22.07.2009 “Për miratimin e listës përfundimtare të pronave të paluajtëshme publike shtetërore që transferohen në pronësi të bashkisë shijak </w:t>
      </w:r>
      <w:r w:rsidRPr="005D14D6">
        <w:rPr>
          <w:rFonts w:ascii="Times New Roman" w:eastAsia="Calibri" w:hAnsi="Times New Roman" w:cs="Times New Roman"/>
          <w:i/>
          <w:color w:val="000000" w:themeColor="text1"/>
          <w:sz w:val="24"/>
          <w:szCs w:val="24"/>
          <w:u w:val="single"/>
          <w:lang w:val="it-IT"/>
        </w:rPr>
        <w:t>me</w:t>
      </w:r>
      <w:r w:rsidRPr="005D14D6">
        <w:rPr>
          <w:rFonts w:ascii="Times New Roman" w:eastAsia="Calibri" w:hAnsi="Times New Roman" w:cs="Times New Roman"/>
          <w:color w:val="000000" w:themeColor="text1"/>
          <w:sz w:val="24"/>
          <w:szCs w:val="24"/>
          <w:lang w:val="it-IT"/>
        </w:rPr>
        <w:t xml:space="preserve"> pronën  Nr 15/14 zk 3369 në pronësi të Komitieti  Mysliman të Shqipërisë .</w:t>
      </w:r>
    </w:p>
    <w:p w14:paraId="1A150FFB" w14:textId="77777777" w:rsidR="00E63DAC" w:rsidRPr="005D14D6" w:rsidRDefault="00E63DAC" w:rsidP="00E63DAC">
      <w:pPr>
        <w:autoSpaceDE w:val="0"/>
        <w:autoSpaceDN w:val="0"/>
        <w:adjustRightInd w:val="0"/>
        <w:jc w:val="center"/>
        <w:rPr>
          <w:rFonts w:ascii="Times New Roman" w:hAnsi="Times New Roman" w:cs="Times New Roman"/>
          <w:b/>
          <w:bCs/>
          <w:sz w:val="24"/>
          <w:szCs w:val="24"/>
          <w:lang w:val="it-IT"/>
        </w:rPr>
      </w:pPr>
    </w:p>
    <w:p w14:paraId="3512CDED" w14:textId="77777777" w:rsidR="00E63DAC" w:rsidRPr="005D14D6" w:rsidRDefault="00E63DAC" w:rsidP="00E63DAC">
      <w:pPr>
        <w:autoSpaceDE w:val="0"/>
        <w:autoSpaceDN w:val="0"/>
        <w:adjustRightInd w:val="0"/>
        <w:jc w:val="center"/>
        <w:rPr>
          <w:rFonts w:ascii="Times New Roman" w:hAnsi="Times New Roman" w:cs="Times New Roman"/>
          <w:b/>
          <w:bCs/>
          <w:sz w:val="24"/>
          <w:szCs w:val="24"/>
          <w:lang w:val="it-IT"/>
        </w:rPr>
      </w:pPr>
    </w:p>
    <w:p w14:paraId="2D72CA5A" w14:textId="77777777" w:rsidR="00E63DAC" w:rsidRPr="005D14D6" w:rsidRDefault="00E63DAC" w:rsidP="00E63DAC">
      <w:pPr>
        <w:autoSpaceDE w:val="0"/>
        <w:autoSpaceDN w:val="0"/>
        <w:adjustRightInd w:val="0"/>
        <w:jc w:val="center"/>
        <w:rPr>
          <w:rFonts w:ascii="Times New Roman" w:hAnsi="Times New Roman" w:cs="Times New Roman"/>
          <w:b/>
          <w:bCs/>
          <w:sz w:val="24"/>
          <w:szCs w:val="24"/>
          <w:lang w:val="it-IT"/>
        </w:rPr>
      </w:pPr>
    </w:p>
    <w:p w14:paraId="27C99C96" w14:textId="77777777" w:rsidR="00E63DAC" w:rsidRPr="005D14D6" w:rsidRDefault="00E63DAC" w:rsidP="00E63DAC">
      <w:pPr>
        <w:autoSpaceDE w:val="0"/>
        <w:autoSpaceDN w:val="0"/>
        <w:adjustRightInd w:val="0"/>
        <w:jc w:val="center"/>
        <w:rPr>
          <w:rFonts w:ascii="Times New Roman" w:hAnsi="Times New Roman" w:cs="Times New Roman"/>
          <w:b/>
          <w:bCs/>
          <w:sz w:val="24"/>
          <w:szCs w:val="24"/>
          <w:lang w:val="it-IT"/>
        </w:rPr>
      </w:pPr>
      <w:r w:rsidRPr="005D14D6">
        <w:rPr>
          <w:rFonts w:ascii="Times New Roman" w:hAnsi="Times New Roman" w:cs="Times New Roman"/>
          <w:b/>
          <w:bCs/>
          <w:sz w:val="24"/>
          <w:szCs w:val="24"/>
          <w:lang w:val="it-IT"/>
        </w:rPr>
        <w:lastRenderedPageBreak/>
        <w:t>VENDIM</w:t>
      </w:r>
    </w:p>
    <w:p w14:paraId="7C8901AD" w14:textId="77777777" w:rsidR="00E63DAC" w:rsidRPr="005D14D6" w:rsidRDefault="00E63DAC" w:rsidP="00E63DAC">
      <w:pPr>
        <w:autoSpaceDE w:val="0"/>
        <w:autoSpaceDN w:val="0"/>
        <w:adjustRightInd w:val="0"/>
        <w:jc w:val="center"/>
        <w:rPr>
          <w:rFonts w:ascii="Times New Roman" w:hAnsi="Times New Roman" w:cs="Times New Roman"/>
          <w:b/>
          <w:bCs/>
          <w:sz w:val="24"/>
          <w:szCs w:val="24"/>
          <w:lang w:val="it-IT"/>
        </w:rPr>
      </w:pPr>
      <w:r w:rsidRPr="005D14D6">
        <w:rPr>
          <w:rFonts w:ascii="Times New Roman" w:hAnsi="Times New Roman" w:cs="Times New Roman"/>
          <w:b/>
          <w:bCs/>
          <w:sz w:val="24"/>
          <w:szCs w:val="24"/>
          <w:lang w:val="it-IT"/>
        </w:rPr>
        <w:t>Nr.839, datë 22.7.2009</w:t>
      </w:r>
    </w:p>
    <w:p w14:paraId="2F124C39" w14:textId="77777777" w:rsidR="00E63DAC" w:rsidRPr="005D14D6" w:rsidRDefault="00E63DAC" w:rsidP="00E63DAC">
      <w:pPr>
        <w:autoSpaceDE w:val="0"/>
        <w:autoSpaceDN w:val="0"/>
        <w:adjustRightInd w:val="0"/>
        <w:jc w:val="center"/>
        <w:rPr>
          <w:rFonts w:ascii="Times New Roman" w:hAnsi="Times New Roman" w:cs="Times New Roman"/>
          <w:sz w:val="24"/>
          <w:szCs w:val="24"/>
          <w:lang w:val="it-IT"/>
        </w:rPr>
      </w:pPr>
      <w:r w:rsidRPr="005D14D6">
        <w:rPr>
          <w:rFonts w:ascii="Times New Roman" w:hAnsi="Times New Roman" w:cs="Times New Roman"/>
          <w:b/>
          <w:bCs/>
          <w:sz w:val="24"/>
          <w:szCs w:val="24"/>
          <w:lang w:val="it-IT"/>
        </w:rPr>
        <w:t>PËR MIRATIMIN E LISTËS PËRFUNDIMTARE TË PRONAVE TË PALUAJTSHME PUBLIKE, SHTETËRORE, QË TRANSFEROHEN NË PRONËSI OSE NË PËRDORIM TË BASHKISË SHIJAK TË QARKUT TË DURRËSIT</w:t>
      </w:r>
    </w:p>
    <w:p w14:paraId="6C0302A4"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Në mbështetje të nenit 100 të Kushtetutës dhe të neneve 3 e 17 të ligjit nr.8744, datë 22.2.2001 “Për transferimin e pronave të paluajtshme publike të shtetit në njësitë e qeverisjes vendore”, të ndryshuar, me propozimin e Ministrit të Brendshëm, Këshilli i Ministrave</w:t>
      </w:r>
    </w:p>
    <w:p w14:paraId="4A8948E9"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VENDOSI:</w:t>
      </w:r>
    </w:p>
    <w:p w14:paraId="0FBEEBE3"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1. Miratimin e listës përfundimtare të pronave të paluajtshme publike, shtetërore, brenda juridiksionit territorial dhe administrativ të bashkisë Shijak të qarkut të Durrësit, që transferohen, në pronësi ose në përdorim të kësaj bashkie, sipas lidhjes 1, që i bashkëlidhet këtij vendimi dhe është pjesë përbërëse e tij.Lista me 24 (njëzet e katër) fletë, që i bashkëlidhet këtij vendimi, përfundon me numrin rendor 105 (njëqind e pesë).</w:t>
      </w:r>
    </w:p>
    <w:p w14:paraId="2A6C23C1"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2. Ngarkohen Ministri i Brendshëm, kryeregjistruesi i Pasurive të Paluajtshme të Republikës së Shqipërisë dhe bashkia Shijak për zbatimin e këtij vendimi.</w:t>
      </w:r>
    </w:p>
    <w:p w14:paraId="11A4771C"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Ky vendim hyn në fuqi pas botimit në Fletoren Zyrtare.</w:t>
      </w:r>
    </w:p>
    <w:p w14:paraId="6D7A3866"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sz w:val="24"/>
          <w:szCs w:val="24"/>
          <w:lang w:val="it-IT"/>
        </w:rPr>
        <w:t>KRYEMINISTRI</w:t>
      </w:r>
    </w:p>
    <w:p w14:paraId="04D288FC" w14:textId="77777777" w:rsidR="00E63DAC" w:rsidRPr="005D14D6" w:rsidRDefault="00E63DAC" w:rsidP="00E63DAC">
      <w:pPr>
        <w:autoSpaceDE w:val="0"/>
        <w:autoSpaceDN w:val="0"/>
        <w:adjustRightInd w:val="0"/>
        <w:rPr>
          <w:rFonts w:ascii="Times New Roman" w:hAnsi="Times New Roman" w:cs="Times New Roman"/>
          <w:sz w:val="24"/>
          <w:szCs w:val="24"/>
          <w:lang w:val="it-IT"/>
        </w:rPr>
      </w:pPr>
      <w:r w:rsidRPr="005D14D6">
        <w:rPr>
          <w:rFonts w:ascii="Times New Roman" w:hAnsi="Times New Roman" w:cs="Times New Roman"/>
          <w:b/>
          <w:bCs/>
          <w:sz w:val="24"/>
          <w:szCs w:val="24"/>
          <w:lang w:val="it-IT"/>
        </w:rPr>
        <w:t>Sali Berisha</w:t>
      </w:r>
    </w:p>
    <w:p w14:paraId="1BDDDCA1" w14:textId="77777777" w:rsidR="00E63DAC" w:rsidRPr="005D14D6" w:rsidRDefault="00E63DAC" w:rsidP="00E63DAC">
      <w:pPr>
        <w:rPr>
          <w:rFonts w:ascii="Times New Roman" w:hAnsi="Times New Roman" w:cs="Times New Roman"/>
          <w:sz w:val="24"/>
          <w:szCs w:val="24"/>
          <w:lang w:val="it-IT"/>
        </w:rPr>
      </w:pPr>
      <w:r w:rsidRPr="005D14D6">
        <w:rPr>
          <w:rFonts w:ascii="Times New Roman" w:hAnsi="Times New Roman" w:cs="Times New Roman"/>
          <w:sz w:val="24"/>
          <w:szCs w:val="24"/>
          <w:lang w:val="it-IT"/>
        </w:rPr>
        <w:t xml:space="preserve">Bashkia Shijak </w:t>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r>
      <w:r w:rsidRPr="005D14D6">
        <w:rPr>
          <w:rFonts w:ascii="Times New Roman" w:hAnsi="Times New Roman" w:cs="Times New Roman"/>
          <w:sz w:val="24"/>
          <w:szCs w:val="24"/>
          <w:lang w:val="it-IT"/>
        </w:rPr>
        <w:tab/>
        <w:t>Lidhja nr.1</w:t>
      </w:r>
    </w:p>
    <w:p w14:paraId="2965BEFE" w14:textId="77777777" w:rsidR="00E63DAC" w:rsidRPr="005D14D6" w:rsidRDefault="00E63DAC" w:rsidP="00E63DAC">
      <w:pPr>
        <w:rPr>
          <w:rFonts w:ascii="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4486"/>
        <w:gridCol w:w="1710"/>
      </w:tblGrid>
      <w:tr w:rsidR="00E63DAC" w:rsidRPr="005D14D6" w14:paraId="28D7788E" w14:textId="77777777" w:rsidTr="00266246">
        <w:trPr>
          <w:trHeight w:val="258"/>
        </w:trPr>
        <w:tc>
          <w:tcPr>
            <w:tcW w:w="2822" w:type="dxa"/>
          </w:tcPr>
          <w:p w14:paraId="3F5CDA15"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b/>
                <w:bCs/>
                <w:lang w:val="sq-AL"/>
              </w:rPr>
              <w:t xml:space="preserve">Numrat rendorë të pronave në listën e inventarit </w:t>
            </w:r>
          </w:p>
        </w:tc>
        <w:tc>
          <w:tcPr>
            <w:tcW w:w="4486" w:type="dxa"/>
          </w:tcPr>
          <w:p w14:paraId="6827403A"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b/>
                <w:bCs/>
                <w:lang w:val="sq-AL"/>
              </w:rPr>
              <w:t xml:space="preserve">Fusha e përdorimit të pronës </w:t>
            </w:r>
          </w:p>
        </w:tc>
        <w:tc>
          <w:tcPr>
            <w:tcW w:w="1710" w:type="dxa"/>
          </w:tcPr>
          <w:p w14:paraId="44D7E0CA"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b/>
                <w:bCs/>
                <w:lang w:val="sq-AL"/>
              </w:rPr>
              <w:t xml:space="preserve">Lloji i transferimit </w:t>
            </w:r>
          </w:p>
        </w:tc>
      </w:tr>
      <w:tr w:rsidR="00E63DAC" w:rsidRPr="005D14D6" w14:paraId="3A283B65" w14:textId="77777777" w:rsidTr="00266246">
        <w:trPr>
          <w:trHeight w:val="252"/>
        </w:trPr>
        <w:tc>
          <w:tcPr>
            <w:tcW w:w="2822" w:type="dxa"/>
          </w:tcPr>
          <w:p w14:paraId="6D38AAE3"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1-7 </w:t>
            </w:r>
          </w:p>
        </w:tc>
        <w:tc>
          <w:tcPr>
            <w:tcW w:w="4486" w:type="dxa"/>
          </w:tcPr>
          <w:p w14:paraId="3200B55C"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për realizimin e programeve arsimore. </w:t>
            </w:r>
          </w:p>
        </w:tc>
        <w:tc>
          <w:tcPr>
            <w:tcW w:w="1710" w:type="dxa"/>
          </w:tcPr>
          <w:p w14:paraId="603A5DAA"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1A6EFB58" w14:textId="77777777" w:rsidTr="00266246">
        <w:trPr>
          <w:trHeight w:val="253"/>
        </w:trPr>
        <w:tc>
          <w:tcPr>
            <w:tcW w:w="2822" w:type="dxa"/>
          </w:tcPr>
          <w:p w14:paraId="347B561A"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8,9,104,105 </w:t>
            </w:r>
          </w:p>
        </w:tc>
        <w:tc>
          <w:tcPr>
            <w:tcW w:w="4486" w:type="dxa"/>
          </w:tcPr>
          <w:p w14:paraId="7AA2F710"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për realizimin e veprimtarive social-kulturore e sportive. </w:t>
            </w:r>
          </w:p>
        </w:tc>
        <w:tc>
          <w:tcPr>
            <w:tcW w:w="1710" w:type="dxa"/>
          </w:tcPr>
          <w:p w14:paraId="58ED15ED"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755C9EEC" w14:textId="77777777" w:rsidTr="00266246">
        <w:trPr>
          <w:trHeight w:val="130"/>
        </w:trPr>
        <w:tc>
          <w:tcPr>
            <w:tcW w:w="2822" w:type="dxa"/>
            <w:vAlign w:val="center"/>
          </w:tcPr>
          <w:p w14:paraId="2EAD1512"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15-17 </w:t>
            </w:r>
          </w:p>
        </w:tc>
        <w:tc>
          <w:tcPr>
            <w:tcW w:w="4486" w:type="dxa"/>
            <w:vAlign w:val="center"/>
          </w:tcPr>
          <w:p w14:paraId="410E0C8F"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Varrezat publike </w:t>
            </w:r>
          </w:p>
        </w:tc>
        <w:tc>
          <w:tcPr>
            <w:tcW w:w="1710" w:type="dxa"/>
            <w:vAlign w:val="center"/>
          </w:tcPr>
          <w:p w14:paraId="5304AC8E"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318836B8" w14:textId="77777777" w:rsidTr="00266246">
        <w:trPr>
          <w:trHeight w:val="128"/>
        </w:trPr>
        <w:tc>
          <w:tcPr>
            <w:tcW w:w="2822" w:type="dxa"/>
            <w:vAlign w:val="center"/>
          </w:tcPr>
          <w:p w14:paraId="7D49ADAE"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40-43, 45 (vetëm trojet) </w:t>
            </w:r>
          </w:p>
        </w:tc>
        <w:tc>
          <w:tcPr>
            <w:tcW w:w="4486" w:type="dxa"/>
            <w:vAlign w:val="center"/>
          </w:tcPr>
          <w:p w14:paraId="0E98E66C"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Infrastrukturë (troje të lira) </w:t>
            </w:r>
          </w:p>
        </w:tc>
        <w:tc>
          <w:tcPr>
            <w:tcW w:w="1710" w:type="dxa"/>
            <w:vAlign w:val="center"/>
          </w:tcPr>
          <w:p w14:paraId="1ACC7A9A"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përdorim </w:t>
            </w:r>
          </w:p>
        </w:tc>
      </w:tr>
      <w:tr w:rsidR="00E63DAC" w:rsidRPr="005D14D6" w14:paraId="75D47525" w14:textId="77777777" w:rsidTr="00266246">
        <w:trPr>
          <w:trHeight w:val="377"/>
        </w:trPr>
        <w:tc>
          <w:tcPr>
            <w:tcW w:w="2822" w:type="dxa"/>
          </w:tcPr>
          <w:p w14:paraId="51A80357"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18-39, 44 40-43, 45 (vetëm sheshet) 46-49 </w:t>
            </w:r>
          </w:p>
        </w:tc>
        <w:tc>
          <w:tcPr>
            <w:tcW w:w="4486" w:type="dxa"/>
          </w:tcPr>
          <w:p w14:paraId="3594F9EC"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Infrastrukturë (sheshe, rrugë vendore, lulishte dhe shërbime publike) </w:t>
            </w:r>
          </w:p>
        </w:tc>
        <w:tc>
          <w:tcPr>
            <w:tcW w:w="1710" w:type="dxa"/>
          </w:tcPr>
          <w:p w14:paraId="2F4499FE"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78CE260E" w14:textId="77777777" w:rsidTr="00266246">
        <w:trPr>
          <w:trHeight w:val="376"/>
        </w:trPr>
        <w:tc>
          <w:tcPr>
            <w:tcW w:w="2822" w:type="dxa"/>
          </w:tcPr>
          <w:p w14:paraId="729EFE68"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50-53 </w:t>
            </w:r>
          </w:p>
        </w:tc>
        <w:tc>
          <w:tcPr>
            <w:tcW w:w="4486" w:type="dxa"/>
          </w:tcPr>
          <w:p w14:paraId="5892C042"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për ushtrimin e funksioneve në fushën e zhvillimit ekonomik. </w:t>
            </w:r>
          </w:p>
        </w:tc>
        <w:tc>
          <w:tcPr>
            <w:tcW w:w="1710" w:type="dxa"/>
          </w:tcPr>
          <w:p w14:paraId="10E69426"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11823782" w14:textId="77777777" w:rsidTr="00266246">
        <w:trPr>
          <w:trHeight w:val="253"/>
        </w:trPr>
        <w:tc>
          <w:tcPr>
            <w:tcW w:w="2822" w:type="dxa"/>
          </w:tcPr>
          <w:p w14:paraId="1796E664"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lastRenderedPageBreak/>
              <w:t xml:space="preserve">54-65 </w:t>
            </w:r>
          </w:p>
        </w:tc>
        <w:tc>
          <w:tcPr>
            <w:tcW w:w="4486" w:type="dxa"/>
          </w:tcPr>
          <w:p w14:paraId="1311552F"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në fushën e strehimit dhe të mbrojtjes civile. </w:t>
            </w:r>
          </w:p>
        </w:tc>
        <w:tc>
          <w:tcPr>
            <w:tcW w:w="1710" w:type="dxa"/>
          </w:tcPr>
          <w:p w14:paraId="1AFDB129"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r w:rsidR="00E63DAC" w:rsidRPr="005D14D6" w14:paraId="5009A18D" w14:textId="77777777" w:rsidTr="00266246">
        <w:trPr>
          <w:trHeight w:val="376"/>
        </w:trPr>
        <w:tc>
          <w:tcPr>
            <w:tcW w:w="2822" w:type="dxa"/>
          </w:tcPr>
          <w:p w14:paraId="4B981FE3"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97,98 </w:t>
            </w:r>
          </w:p>
        </w:tc>
        <w:tc>
          <w:tcPr>
            <w:tcW w:w="4486" w:type="dxa"/>
          </w:tcPr>
          <w:p w14:paraId="260C2102"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për ushtrimin e funksioneve në fushën e bujqësisë dhe të ushqimit (toka produktive). </w:t>
            </w:r>
          </w:p>
        </w:tc>
        <w:tc>
          <w:tcPr>
            <w:tcW w:w="1710" w:type="dxa"/>
          </w:tcPr>
          <w:p w14:paraId="3A5AFF87"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përdorim </w:t>
            </w:r>
          </w:p>
        </w:tc>
      </w:tr>
      <w:tr w:rsidR="00E63DAC" w:rsidRPr="005D14D6" w14:paraId="4744A83F" w14:textId="77777777" w:rsidTr="00266246">
        <w:trPr>
          <w:trHeight w:val="503"/>
        </w:trPr>
        <w:tc>
          <w:tcPr>
            <w:tcW w:w="2822" w:type="dxa"/>
          </w:tcPr>
          <w:p w14:paraId="1C879151"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96,99 </w:t>
            </w:r>
          </w:p>
        </w:tc>
        <w:tc>
          <w:tcPr>
            <w:tcW w:w="4486" w:type="dxa"/>
          </w:tcPr>
          <w:p w14:paraId="17DE83E8"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Prona që përdoren për ushtrimin e funksioneve në fushën e bujqësisë dhe të ushqimit (kanale të treta dhe toka jo produktive). </w:t>
            </w:r>
          </w:p>
        </w:tc>
        <w:tc>
          <w:tcPr>
            <w:tcW w:w="1710" w:type="dxa"/>
          </w:tcPr>
          <w:p w14:paraId="4E770697" w14:textId="77777777" w:rsidR="00E63DAC" w:rsidRPr="005D14D6" w:rsidRDefault="00E63DAC" w:rsidP="00266246">
            <w:pPr>
              <w:pStyle w:val="Default"/>
              <w:rPr>
                <w:rFonts w:ascii="Times New Roman" w:hAnsi="Times New Roman" w:cs="Times New Roman"/>
                <w:lang w:val="sq-AL"/>
              </w:rPr>
            </w:pPr>
            <w:r w:rsidRPr="005D14D6">
              <w:rPr>
                <w:rFonts w:ascii="Times New Roman" w:hAnsi="Times New Roman" w:cs="Times New Roman"/>
                <w:lang w:val="sq-AL"/>
              </w:rPr>
              <w:t xml:space="preserve">Në pronësi </w:t>
            </w:r>
          </w:p>
        </w:tc>
      </w:tr>
    </w:tbl>
    <w:p w14:paraId="2FF7471D" w14:textId="77777777" w:rsidR="00E63DAC" w:rsidRPr="005D14D6" w:rsidRDefault="00E63DAC" w:rsidP="00E63DAC">
      <w:pPr>
        <w:rPr>
          <w:rFonts w:ascii="Times New Roman" w:hAnsi="Times New Roman" w:cs="Times New Roman"/>
          <w:sz w:val="24"/>
          <w:szCs w:val="24"/>
          <w:lang w:val="it-IT"/>
        </w:rPr>
      </w:pPr>
    </w:p>
    <w:p w14:paraId="3C6FEF4A" w14:textId="77777777" w:rsidR="00A608EF" w:rsidRPr="005D14D6" w:rsidRDefault="00A608EF">
      <w:pPr>
        <w:rPr>
          <w:rFonts w:ascii="Times New Roman" w:hAnsi="Times New Roman" w:cs="Times New Roman"/>
          <w:sz w:val="24"/>
          <w:szCs w:val="24"/>
        </w:rPr>
      </w:pPr>
    </w:p>
    <w:sectPr w:rsidR="00A608EF" w:rsidRPr="005D14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03C34" w14:textId="77777777" w:rsidR="009B784D" w:rsidRDefault="009B784D" w:rsidP="00C871B0">
      <w:pPr>
        <w:spacing w:after="0" w:line="240" w:lineRule="auto"/>
      </w:pPr>
      <w:r>
        <w:separator/>
      </w:r>
    </w:p>
  </w:endnote>
  <w:endnote w:type="continuationSeparator" w:id="0">
    <w:p w14:paraId="1AE7CE43" w14:textId="77777777" w:rsidR="009B784D" w:rsidRDefault="009B784D" w:rsidP="00C8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10AB" w14:textId="77777777" w:rsidR="00C871B0" w:rsidRDefault="00C871B0" w:rsidP="00C871B0">
    <w:pPr>
      <w:jc w:val="center"/>
      <w:rPr>
        <w:rFonts w:ascii="Times New Roman" w:hAnsi="Times New Roman" w:cs="Times New Roman"/>
        <w:color w:val="000000" w:themeColor="text1"/>
        <w:sz w:val="19"/>
        <w:szCs w:val="19"/>
      </w:rPr>
    </w:pPr>
    <w:r>
      <w:tab/>
    </w:r>
    <w:r>
      <w:rPr>
        <w:rFonts w:ascii="Times New Roman" w:hAnsi="Times New Roman" w:cs="Times New Roman"/>
        <w:color w:val="000000" w:themeColor="text1"/>
        <w:sz w:val="19"/>
        <w:szCs w:val="19"/>
      </w:rPr>
      <w:t>__________________________________________________________________________________</w:t>
    </w:r>
  </w:p>
  <w:p w14:paraId="15863C41" w14:textId="77777777" w:rsidR="00C871B0" w:rsidRPr="008A0237" w:rsidRDefault="00C871B0" w:rsidP="00C871B0">
    <w:pPr>
      <w:jc w:val="center"/>
      <w:rPr>
        <w:rFonts w:ascii="Times New Roman" w:hAnsi="Times New Roman" w:cs="Times New Roman"/>
        <w:color w:val="000000" w:themeColor="text1"/>
        <w:sz w:val="19"/>
        <w:szCs w:val="19"/>
        <w:lang w:val="en-GB"/>
      </w:rPr>
    </w:pPr>
    <w:proofErr w:type="spellStart"/>
    <w:r w:rsidRPr="008A0237">
      <w:rPr>
        <w:rFonts w:ascii="Times New Roman" w:hAnsi="Times New Roman" w:cs="Times New Roman"/>
        <w:color w:val="000000" w:themeColor="text1"/>
        <w:sz w:val="19"/>
        <w:szCs w:val="19"/>
      </w:rPr>
      <w:t>Adresa</w:t>
    </w:r>
    <w:proofErr w:type="spellEnd"/>
    <w:r w:rsidRPr="008A0237">
      <w:rPr>
        <w:rFonts w:ascii="Times New Roman" w:hAnsi="Times New Roman" w:cs="Times New Roman"/>
        <w:color w:val="000000" w:themeColor="text1"/>
        <w:sz w:val="19"/>
        <w:szCs w:val="19"/>
      </w:rPr>
      <w:t xml:space="preserve">: </w:t>
    </w:r>
    <w:proofErr w:type="spellStart"/>
    <w:proofErr w:type="gramStart"/>
    <w:r w:rsidRPr="008A0237">
      <w:rPr>
        <w:rFonts w:ascii="Times New Roman" w:hAnsi="Times New Roman" w:cs="Times New Roman"/>
        <w:color w:val="000000" w:themeColor="text1"/>
        <w:sz w:val="19"/>
        <w:szCs w:val="19"/>
      </w:rPr>
      <w:t>Lagja</w:t>
    </w:r>
    <w:proofErr w:type="spellEnd"/>
    <w:r w:rsidRPr="008A0237">
      <w:rPr>
        <w:rFonts w:ascii="Times New Roman" w:hAnsi="Times New Roman" w:cs="Times New Roman"/>
        <w:color w:val="000000" w:themeColor="text1"/>
        <w:sz w:val="19"/>
        <w:szCs w:val="19"/>
      </w:rPr>
      <w:t xml:space="preserve"> ”</w:t>
    </w:r>
    <w:proofErr w:type="spellStart"/>
    <w:proofErr w:type="gramEnd"/>
    <w:r w:rsidRPr="008A0237">
      <w:rPr>
        <w:rFonts w:ascii="Times New Roman" w:hAnsi="Times New Roman" w:cs="Times New Roman"/>
        <w:color w:val="000000" w:themeColor="text1"/>
        <w:sz w:val="19"/>
        <w:szCs w:val="19"/>
      </w:rPr>
      <w:t>Erzen</w:t>
    </w:r>
    <w:proofErr w:type="spellEnd"/>
    <w:r w:rsidRPr="008A0237">
      <w:rPr>
        <w:rFonts w:ascii="Times New Roman" w:hAnsi="Times New Roman" w:cs="Times New Roman"/>
        <w:color w:val="000000" w:themeColor="text1"/>
        <w:sz w:val="19"/>
        <w:szCs w:val="19"/>
      </w:rPr>
      <w:t xml:space="preserve">” </w:t>
    </w:r>
    <w:proofErr w:type="spellStart"/>
    <w:r w:rsidRPr="008A0237">
      <w:rPr>
        <w:rFonts w:ascii="Times New Roman" w:hAnsi="Times New Roman" w:cs="Times New Roman"/>
        <w:color w:val="000000" w:themeColor="text1"/>
        <w:sz w:val="19"/>
        <w:szCs w:val="19"/>
      </w:rPr>
      <w:t>Shijak</w:t>
    </w:r>
    <w:proofErr w:type="spellEnd"/>
    <w:r w:rsidRPr="008A0237">
      <w:rPr>
        <w:rFonts w:ascii="Times New Roman" w:hAnsi="Times New Roman" w:cs="Times New Roman"/>
        <w:color w:val="000000" w:themeColor="text1"/>
        <w:sz w:val="19"/>
        <w:szCs w:val="19"/>
      </w:rPr>
      <w:t>, Tel: +35557122152,</w:t>
    </w:r>
    <w:r>
      <w:rPr>
        <w:rFonts w:ascii="Times New Roman" w:hAnsi="Times New Roman" w:cs="Times New Roman"/>
        <w:color w:val="000000" w:themeColor="text1"/>
        <w:sz w:val="19"/>
        <w:szCs w:val="19"/>
      </w:rPr>
      <w:t>ë</w:t>
    </w:r>
    <w:r w:rsidRPr="008A0237">
      <w:rPr>
        <w:rFonts w:ascii="Times New Roman" w:hAnsi="Times New Roman" w:cs="Times New Roman"/>
        <w:color w:val="000000" w:themeColor="text1"/>
        <w:sz w:val="19"/>
        <w:szCs w:val="19"/>
      </w:rPr>
      <w:t xml:space="preserve">ebsite </w:t>
    </w:r>
    <w:proofErr w:type="spellStart"/>
    <w:r>
      <w:rPr>
        <w:rFonts w:ascii="Times New Roman" w:hAnsi="Times New Roman" w:cs="Times New Roman"/>
        <w:color w:val="000000" w:themeColor="text1"/>
        <w:sz w:val="19"/>
        <w:szCs w:val="19"/>
      </w:rPr>
      <w:t>ëëë</w:t>
    </w:r>
    <w:proofErr w:type="spellEnd"/>
    <w:r w:rsidRPr="008A0237">
      <w:rPr>
        <w:rFonts w:ascii="Times New Roman" w:hAnsi="Times New Roman" w:cs="Times New Roman"/>
        <w:color w:val="000000" w:themeColor="text1"/>
        <w:sz w:val="19"/>
        <w:szCs w:val="19"/>
      </w:rPr>
      <w:t xml:space="preserve"> </w:t>
    </w:r>
    <w:hyperlink r:id="rId1" w:history="1">
      <w:r w:rsidRPr="008A0237">
        <w:rPr>
          <w:rStyle w:val="Hyperlink"/>
          <w:rFonts w:ascii="Times New Roman" w:hAnsi="Times New Roman" w:cs="Times New Roman"/>
          <w:color w:val="000000" w:themeColor="text1"/>
          <w:sz w:val="19"/>
          <w:szCs w:val="19"/>
        </w:rPr>
        <w:t>.shijak.gov.al</w:t>
      </w:r>
    </w:hyperlink>
    <w:r w:rsidRPr="008A0237">
      <w:rPr>
        <w:rFonts w:ascii="Times New Roman" w:hAnsi="Times New Roman" w:cs="Times New Roman"/>
        <w:color w:val="000000" w:themeColor="text1"/>
        <w:sz w:val="19"/>
        <w:szCs w:val="19"/>
      </w:rPr>
      <w:t xml:space="preserve">, </w:t>
    </w:r>
    <w:proofErr w:type="spellStart"/>
    <w:r w:rsidRPr="008A0237">
      <w:rPr>
        <w:rFonts w:ascii="Times New Roman" w:hAnsi="Times New Roman" w:cs="Times New Roman"/>
        <w:color w:val="000000" w:themeColor="text1"/>
        <w:sz w:val="19"/>
        <w:szCs w:val="19"/>
      </w:rPr>
      <w:t>e-mail:info@shijak.gov.al</w:t>
    </w:r>
    <w:proofErr w:type="spellEnd"/>
  </w:p>
  <w:p w14:paraId="59C242B5" w14:textId="77777777" w:rsidR="00C871B0" w:rsidRDefault="00C871B0" w:rsidP="00C871B0">
    <w:pPr>
      <w:pStyle w:val="Footer"/>
    </w:pPr>
  </w:p>
  <w:p w14:paraId="0C860355" w14:textId="77777777" w:rsidR="00C871B0" w:rsidRDefault="00C871B0" w:rsidP="00C871B0">
    <w:pPr>
      <w:pStyle w:val="Footer"/>
      <w:tabs>
        <w:tab w:val="clear" w:pos="4680"/>
        <w:tab w:val="clear" w:pos="9360"/>
        <w:tab w:val="left" w:pos="1715"/>
        <w:tab w:val="left" w:pos="249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FD9F1" w14:textId="77777777" w:rsidR="009B784D" w:rsidRDefault="009B784D" w:rsidP="00C871B0">
      <w:pPr>
        <w:spacing w:after="0" w:line="240" w:lineRule="auto"/>
      </w:pPr>
      <w:r>
        <w:separator/>
      </w:r>
    </w:p>
  </w:footnote>
  <w:footnote w:type="continuationSeparator" w:id="0">
    <w:p w14:paraId="182F4E5C" w14:textId="77777777" w:rsidR="009B784D" w:rsidRDefault="009B784D" w:rsidP="00C871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AC"/>
    <w:rsid w:val="001405A4"/>
    <w:rsid w:val="005D14D6"/>
    <w:rsid w:val="00734F5D"/>
    <w:rsid w:val="009B784D"/>
    <w:rsid w:val="009D5697"/>
    <w:rsid w:val="00A608EF"/>
    <w:rsid w:val="00C30B6A"/>
    <w:rsid w:val="00C871B0"/>
    <w:rsid w:val="00D119D6"/>
    <w:rsid w:val="00DF626C"/>
    <w:rsid w:val="00E6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DAC"/>
    <w:pPr>
      <w:spacing w:after="0" w:line="240" w:lineRule="auto"/>
    </w:pPr>
  </w:style>
  <w:style w:type="paragraph" w:styleId="Footer">
    <w:name w:val="footer"/>
    <w:basedOn w:val="Normal"/>
    <w:link w:val="FooterChar"/>
    <w:uiPriority w:val="99"/>
    <w:unhideWhenUsed/>
    <w:rsid w:val="00E63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DAC"/>
  </w:style>
  <w:style w:type="paragraph" w:customStyle="1" w:styleId="Default">
    <w:name w:val="Default"/>
    <w:rsid w:val="00E63DAC"/>
    <w:pPr>
      <w:autoSpaceDE w:val="0"/>
      <w:autoSpaceDN w:val="0"/>
      <w:adjustRightInd w:val="0"/>
      <w:spacing w:after="0" w:line="240" w:lineRule="auto"/>
    </w:pPr>
    <w:rPr>
      <w:rFonts w:ascii="CG Times" w:eastAsia="Times New Roman" w:hAnsi="CG Times" w:cs="CG Times"/>
      <w:color w:val="000000"/>
      <w:sz w:val="24"/>
      <w:szCs w:val="24"/>
    </w:rPr>
  </w:style>
  <w:style w:type="paragraph" w:styleId="Header">
    <w:name w:val="header"/>
    <w:basedOn w:val="Normal"/>
    <w:link w:val="HeaderChar"/>
    <w:uiPriority w:val="99"/>
    <w:unhideWhenUsed/>
    <w:rsid w:val="00C8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B0"/>
  </w:style>
  <w:style w:type="character" w:styleId="Hyperlink">
    <w:name w:val="Hyperlink"/>
    <w:unhideWhenUsed/>
    <w:rsid w:val="00C871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DAC"/>
    <w:pPr>
      <w:spacing w:after="0" w:line="240" w:lineRule="auto"/>
    </w:pPr>
  </w:style>
  <w:style w:type="paragraph" w:styleId="Footer">
    <w:name w:val="footer"/>
    <w:basedOn w:val="Normal"/>
    <w:link w:val="FooterChar"/>
    <w:uiPriority w:val="99"/>
    <w:unhideWhenUsed/>
    <w:rsid w:val="00E63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DAC"/>
  </w:style>
  <w:style w:type="paragraph" w:customStyle="1" w:styleId="Default">
    <w:name w:val="Default"/>
    <w:rsid w:val="00E63DAC"/>
    <w:pPr>
      <w:autoSpaceDE w:val="0"/>
      <w:autoSpaceDN w:val="0"/>
      <w:adjustRightInd w:val="0"/>
      <w:spacing w:after="0" w:line="240" w:lineRule="auto"/>
    </w:pPr>
    <w:rPr>
      <w:rFonts w:ascii="CG Times" w:eastAsia="Times New Roman" w:hAnsi="CG Times" w:cs="CG Times"/>
      <w:color w:val="000000"/>
      <w:sz w:val="24"/>
      <w:szCs w:val="24"/>
    </w:rPr>
  </w:style>
  <w:style w:type="paragraph" w:styleId="Header">
    <w:name w:val="header"/>
    <w:basedOn w:val="Normal"/>
    <w:link w:val="HeaderChar"/>
    <w:uiPriority w:val="99"/>
    <w:unhideWhenUsed/>
    <w:rsid w:val="00C8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B0"/>
  </w:style>
  <w:style w:type="character" w:styleId="Hyperlink">
    <w:name w:val="Hyperlink"/>
    <w:unhideWhenUsed/>
    <w:rsid w:val="00C87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hijak.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974</Words>
  <Characters>5378</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dc:creator>
  <cp:keywords/>
  <dc:description/>
  <cp:lastModifiedBy>Gerti Shella</cp:lastModifiedBy>
  <cp:revision>3</cp:revision>
  <dcterms:created xsi:type="dcterms:W3CDTF">2022-10-21T10:20:00Z</dcterms:created>
  <dcterms:modified xsi:type="dcterms:W3CDTF">2022-10-22T11:55:00Z</dcterms:modified>
</cp:coreProperties>
</file>